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29E3" w14:textId="77777777" w:rsidR="003306CD" w:rsidRPr="003306CD" w:rsidRDefault="00AC4F0B" w:rsidP="004560E2">
      <w:pPr>
        <w:spacing w:after="0"/>
        <w:jc w:val="right"/>
        <w:rPr>
          <w:szCs w:val="21"/>
        </w:rPr>
      </w:pPr>
      <w:r>
        <w:rPr>
          <w:rFonts w:hint="eastAsia"/>
          <w:szCs w:val="21"/>
        </w:rPr>
        <w:t>2019</w:t>
      </w:r>
      <w:r w:rsidR="00205B4A">
        <w:rPr>
          <w:rFonts w:hint="eastAsia"/>
          <w:szCs w:val="21"/>
        </w:rPr>
        <w:t>.</w:t>
      </w:r>
      <w:r w:rsidR="00205B4A">
        <w:rPr>
          <w:rFonts w:hint="eastAsia"/>
          <w:szCs w:val="21"/>
        </w:rPr>
        <w:t>４</w:t>
      </w:r>
      <w:r w:rsidR="0059577A">
        <w:rPr>
          <w:rFonts w:hint="eastAsia"/>
          <w:szCs w:val="21"/>
        </w:rPr>
        <w:t>.8</w:t>
      </w:r>
      <w:r w:rsidR="00205B4A">
        <w:rPr>
          <w:rFonts w:hint="eastAsia"/>
          <w:szCs w:val="21"/>
        </w:rPr>
        <w:t>改定</w:t>
      </w:r>
    </w:p>
    <w:tbl>
      <w:tblPr>
        <w:tblStyle w:val="a3"/>
        <w:tblpPr w:leftFromText="142" w:rightFromText="142" w:vertAnchor="page" w:horzAnchor="margin" w:tblpX="216" w:tblpY="2116"/>
        <w:tblW w:w="14952" w:type="dxa"/>
        <w:tblLayout w:type="fixed"/>
        <w:tblLook w:val="04A0" w:firstRow="1" w:lastRow="0" w:firstColumn="1" w:lastColumn="0" w:noHBand="0" w:noVBand="1"/>
      </w:tblPr>
      <w:tblGrid>
        <w:gridCol w:w="675"/>
        <w:gridCol w:w="1843"/>
        <w:gridCol w:w="2126"/>
        <w:gridCol w:w="2127"/>
        <w:gridCol w:w="2126"/>
        <w:gridCol w:w="2126"/>
        <w:gridCol w:w="1985"/>
        <w:gridCol w:w="1944"/>
      </w:tblGrid>
      <w:tr w:rsidR="00747962" w:rsidRPr="00193D0F" w14:paraId="0BB98E29" w14:textId="77777777" w:rsidTr="00C26BAB">
        <w:trPr>
          <w:cantSplit/>
          <w:trHeight w:val="273"/>
        </w:trPr>
        <w:tc>
          <w:tcPr>
            <w:tcW w:w="675" w:type="dxa"/>
            <w:vMerge w:val="restart"/>
            <w:vAlign w:val="center"/>
          </w:tcPr>
          <w:p w14:paraId="1B82A2B6" w14:textId="77777777" w:rsidR="00747962" w:rsidRPr="00DD44E7" w:rsidRDefault="00747962" w:rsidP="00747962">
            <w:pPr>
              <w:spacing w:beforeLines="50" w:before="180" w:line="160" w:lineRule="exact"/>
              <w:jc w:val="center"/>
              <w:rPr>
                <w:rFonts w:asciiTheme="minorEastAsia" w:hAnsiTheme="minorEastAsia"/>
                <w:szCs w:val="21"/>
              </w:rPr>
            </w:pPr>
            <w:r w:rsidRPr="00DD44E7">
              <w:rPr>
                <w:rFonts w:asciiTheme="minorEastAsia" w:hAnsiTheme="minorEastAsia" w:hint="eastAsia"/>
                <w:szCs w:val="21"/>
              </w:rPr>
              <w:t>過程</w:t>
            </w:r>
          </w:p>
        </w:tc>
        <w:tc>
          <w:tcPr>
            <w:tcW w:w="1843" w:type="dxa"/>
            <w:vMerge w:val="restart"/>
            <w:vAlign w:val="center"/>
          </w:tcPr>
          <w:p w14:paraId="7DA8F143" w14:textId="77777777" w:rsidR="00747962" w:rsidRPr="0012518F" w:rsidRDefault="00747962"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導入期</w:t>
            </w:r>
          </w:p>
        </w:tc>
        <w:tc>
          <w:tcPr>
            <w:tcW w:w="2126" w:type="dxa"/>
            <w:vMerge w:val="restart"/>
            <w:vAlign w:val="center"/>
          </w:tcPr>
          <w:p w14:paraId="553CA3AE" w14:textId="77777777" w:rsidR="00747962" w:rsidRPr="0012518F" w:rsidRDefault="00747962"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初期</w:t>
            </w:r>
          </w:p>
        </w:tc>
        <w:tc>
          <w:tcPr>
            <w:tcW w:w="4253" w:type="dxa"/>
            <w:gridSpan w:val="2"/>
            <w:tcBorders>
              <w:bottom w:val="dotted" w:sz="4" w:space="0" w:color="auto"/>
            </w:tcBorders>
            <w:vAlign w:val="center"/>
          </w:tcPr>
          <w:p w14:paraId="12602C4C" w14:textId="77777777" w:rsidR="00747962" w:rsidRPr="0012518F" w:rsidRDefault="00747962"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中期</w:t>
            </w:r>
          </w:p>
        </w:tc>
        <w:tc>
          <w:tcPr>
            <w:tcW w:w="4111" w:type="dxa"/>
            <w:gridSpan w:val="2"/>
            <w:tcBorders>
              <w:bottom w:val="dotted" w:sz="4" w:space="0" w:color="auto"/>
            </w:tcBorders>
            <w:vAlign w:val="center"/>
          </w:tcPr>
          <w:p w14:paraId="0E900A2C" w14:textId="77777777" w:rsidR="00747962" w:rsidRPr="0012518F" w:rsidRDefault="00747962"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後期</w:t>
            </w:r>
          </w:p>
        </w:tc>
        <w:tc>
          <w:tcPr>
            <w:tcW w:w="1944" w:type="dxa"/>
            <w:vMerge w:val="restart"/>
            <w:vAlign w:val="center"/>
          </w:tcPr>
          <w:p w14:paraId="46E2F40E" w14:textId="77777777" w:rsidR="00747962" w:rsidRPr="0012518F" w:rsidRDefault="00747962"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修了期</w:t>
            </w:r>
          </w:p>
        </w:tc>
      </w:tr>
      <w:tr w:rsidR="00747962" w:rsidRPr="00193D0F" w14:paraId="28D44AC7" w14:textId="77777777" w:rsidTr="00747962">
        <w:trPr>
          <w:trHeight w:val="384"/>
        </w:trPr>
        <w:tc>
          <w:tcPr>
            <w:tcW w:w="675" w:type="dxa"/>
            <w:vMerge/>
            <w:textDirection w:val="tbRlV"/>
            <w:vAlign w:val="center"/>
          </w:tcPr>
          <w:p w14:paraId="688F82E6" w14:textId="77777777" w:rsidR="00747962" w:rsidRPr="0012518F" w:rsidRDefault="00747962" w:rsidP="00747962">
            <w:pPr>
              <w:spacing w:line="160" w:lineRule="exact"/>
              <w:ind w:left="113" w:right="113"/>
              <w:jc w:val="center"/>
              <w:rPr>
                <w:rFonts w:asciiTheme="minorEastAsia" w:hAnsiTheme="minorEastAsia"/>
                <w:szCs w:val="21"/>
              </w:rPr>
            </w:pPr>
          </w:p>
        </w:tc>
        <w:tc>
          <w:tcPr>
            <w:tcW w:w="1843" w:type="dxa"/>
            <w:vMerge/>
            <w:vAlign w:val="center"/>
          </w:tcPr>
          <w:p w14:paraId="649DA0BF" w14:textId="77777777" w:rsidR="00747962" w:rsidRPr="007D0629" w:rsidRDefault="00747962" w:rsidP="00747962">
            <w:pPr>
              <w:spacing w:before="100" w:beforeAutospacing="1" w:after="100" w:afterAutospacing="1" w:line="240" w:lineRule="auto"/>
              <w:rPr>
                <w:rFonts w:asciiTheme="minorEastAsia" w:hAnsiTheme="minorEastAsia"/>
                <w:sz w:val="20"/>
                <w:szCs w:val="20"/>
              </w:rPr>
            </w:pPr>
          </w:p>
        </w:tc>
        <w:tc>
          <w:tcPr>
            <w:tcW w:w="2126" w:type="dxa"/>
            <w:vMerge/>
            <w:vAlign w:val="center"/>
          </w:tcPr>
          <w:p w14:paraId="0E2CAE82" w14:textId="77777777" w:rsidR="00747962" w:rsidRPr="007D0629" w:rsidRDefault="00747962" w:rsidP="00747962">
            <w:pPr>
              <w:spacing w:before="100" w:beforeAutospacing="1" w:after="100" w:afterAutospacing="1" w:line="240" w:lineRule="auto"/>
              <w:rPr>
                <w:rFonts w:asciiTheme="minorEastAsia" w:hAnsiTheme="minorEastAsia"/>
                <w:sz w:val="20"/>
                <w:szCs w:val="20"/>
              </w:rPr>
            </w:pPr>
          </w:p>
        </w:tc>
        <w:tc>
          <w:tcPr>
            <w:tcW w:w="2127" w:type="dxa"/>
            <w:tcBorders>
              <w:top w:val="dotted" w:sz="4" w:space="0" w:color="auto"/>
            </w:tcBorders>
            <w:vAlign w:val="center"/>
          </w:tcPr>
          <w:p w14:paraId="632F7303" w14:textId="77777777" w:rsidR="00747962" w:rsidRPr="007D0629" w:rsidRDefault="00747962" w:rsidP="00747962">
            <w:pPr>
              <w:spacing w:before="100" w:beforeAutospacing="1" w:after="100" w:afterAutospacing="1" w:line="240" w:lineRule="auto"/>
              <w:jc w:val="center"/>
              <w:rPr>
                <w:rFonts w:asciiTheme="minorEastAsia" w:hAnsiTheme="minorEastAsia"/>
                <w:sz w:val="20"/>
                <w:szCs w:val="20"/>
              </w:rPr>
            </w:pPr>
            <w:r w:rsidRPr="007D0629">
              <w:rPr>
                <w:rFonts w:asciiTheme="minorEastAsia" w:hAnsiTheme="minorEastAsia" w:hint="eastAsia"/>
                <w:sz w:val="20"/>
                <w:szCs w:val="20"/>
              </w:rPr>
              <w:t>中期Ⅰ</w:t>
            </w:r>
          </w:p>
        </w:tc>
        <w:tc>
          <w:tcPr>
            <w:tcW w:w="2126" w:type="dxa"/>
            <w:tcBorders>
              <w:top w:val="dotted" w:sz="4" w:space="0" w:color="auto"/>
            </w:tcBorders>
            <w:vAlign w:val="center"/>
          </w:tcPr>
          <w:p w14:paraId="2E5C265D" w14:textId="77777777" w:rsidR="00747962" w:rsidRPr="007D0629" w:rsidRDefault="00747962" w:rsidP="00747962">
            <w:pPr>
              <w:spacing w:before="100" w:beforeAutospacing="1" w:after="100" w:afterAutospacing="1" w:line="240" w:lineRule="auto"/>
              <w:jc w:val="center"/>
              <w:rPr>
                <w:rFonts w:asciiTheme="minorEastAsia" w:hAnsiTheme="minorEastAsia"/>
                <w:sz w:val="20"/>
                <w:szCs w:val="20"/>
              </w:rPr>
            </w:pPr>
            <w:r w:rsidRPr="007D0629">
              <w:rPr>
                <w:rFonts w:asciiTheme="minorEastAsia" w:hAnsiTheme="minorEastAsia" w:hint="eastAsia"/>
                <w:sz w:val="20"/>
                <w:szCs w:val="20"/>
              </w:rPr>
              <w:t>中期Ⅱ</w:t>
            </w:r>
          </w:p>
        </w:tc>
        <w:tc>
          <w:tcPr>
            <w:tcW w:w="2126" w:type="dxa"/>
            <w:tcBorders>
              <w:top w:val="dotted" w:sz="4" w:space="0" w:color="auto"/>
            </w:tcBorders>
            <w:vAlign w:val="center"/>
          </w:tcPr>
          <w:p w14:paraId="20388352" w14:textId="77777777" w:rsidR="00747962" w:rsidRPr="007D0629" w:rsidRDefault="00747962" w:rsidP="00747962">
            <w:pPr>
              <w:spacing w:before="100" w:beforeAutospacing="1" w:after="100" w:afterAutospacing="1" w:line="240" w:lineRule="auto"/>
              <w:jc w:val="center"/>
              <w:rPr>
                <w:rFonts w:asciiTheme="minorEastAsia" w:hAnsiTheme="minorEastAsia"/>
                <w:sz w:val="20"/>
                <w:szCs w:val="20"/>
              </w:rPr>
            </w:pPr>
            <w:r w:rsidRPr="007D0629">
              <w:rPr>
                <w:rFonts w:asciiTheme="minorEastAsia" w:hAnsiTheme="minorEastAsia" w:hint="eastAsia"/>
                <w:sz w:val="20"/>
                <w:szCs w:val="20"/>
              </w:rPr>
              <w:t>後期Ⅰ</w:t>
            </w:r>
          </w:p>
        </w:tc>
        <w:tc>
          <w:tcPr>
            <w:tcW w:w="1985" w:type="dxa"/>
            <w:tcBorders>
              <w:top w:val="dotted" w:sz="4" w:space="0" w:color="auto"/>
            </w:tcBorders>
            <w:vAlign w:val="center"/>
          </w:tcPr>
          <w:p w14:paraId="3312A9D8" w14:textId="77777777" w:rsidR="00747962" w:rsidRPr="007D0629" w:rsidRDefault="00747962" w:rsidP="00747962">
            <w:pPr>
              <w:spacing w:before="100" w:beforeAutospacing="1" w:after="100" w:afterAutospacing="1" w:line="240" w:lineRule="auto"/>
              <w:jc w:val="center"/>
              <w:rPr>
                <w:rFonts w:asciiTheme="minorEastAsia" w:hAnsiTheme="minorEastAsia"/>
                <w:sz w:val="20"/>
                <w:szCs w:val="20"/>
              </w:rPr>
            </w:pPr>
            <w:r w:rsidRPr="007D0629">
              <w:rPr>
                <w:rFonts w:asciiTheme="minorEastAsia" w:hAnsiTheme="minorEastAsia" w:hint="eastAsia"/>
                <w:sz w:val="20"/>
                <w:szCs w:val="20"/>
              </w:rPr>
              <w:t>後期Ⅱ</w:t>
            </w:r>
          </w:p>
        </w:tc>
        <w:tc>
          <w:tcPr>
            <w:tcW w:w="1944" w:type="dxa"/>
            <w:vMerge/>
            <w:vAlign w:val="center"/>
          </w:tcPr>
          <w:p w14:paraId="6E0AA120" w14:textId="77777777" w:rsidR="00747962" w:rsidRPr="007D0629" w:rsidRDefault="00747962" w:rsidP="00747962">
            <w:pPr>
              <w:spacing w:before="100" w:beforeAutospacing="1" w:after="100" w:afterAutospacing="1" w:line="240" w:lineRule="auto"/>
              <w:rPr>
                <w:rFonts w:asciiTheme="minorEastAsia" w:hAnsiTheme="minorEastAsia"/>
                <w:sz w:val="20"/>
                <w:szCs w:val="20"/>
              </w:rPr>
            </w:pPr>
          </w:p>
        </w:tc>
      </w:tr>
      <w:tr w:rsidR="00747962" w:rsidRPr="00193D0F" w14:paraId="5D1BBE8D" w14:textId="77777777" w:rsidTr="00747962">
        <w:trPr>
          <w:cantSplit/>
          <w:trHeight w:val="392"/>
        </w:trPr>
        <w:tc>
          <w:tcPr>
            <w:tcW w:w="675" w:type="dxa"/>
            <w:vAlign w:val="center"/>
          </w:tcPr>
          <w:p w14:paraId="73457B66"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時間</w:t>
            </w:r>
          </w:p>
        </w:tc>
        <w:tc>
          <w:tcPr>
            <w:tcW w:w="1843" w:type="dxa"/>
            <w:vAlign w:val="center"/>
          </w:tcPr>
          <w:p w14:paraId="4B9BE05B"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5時間</w:t>
            </w:r>
            <w:r>
              <w:rPr>
                <w:rFonts w:asciiTheme="minorEastAsia" w:hAnsiTheme="minorEastAsia" w:hint="eastAsia"/>
                <w:szCs w:val="21"/>
              </w:rPr>
              <w:t>程度</w:t>
            </w:r>
          </w:p>
        </w:tc>
        <w:tc>
          <w:tcPr>
            <w:tcW w:w="2126" w:type="dxa"/>
            <w:vAlign w:val="center"/>
          </w:tcPr>
          <w:p w14:paraId="35FAD6E7"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21時間</w:t>
            </w:r>
            <w:r>
              <w:rPr>
                <w:rFonts w:asciiTheme="minorEastAsia" w:hAnsiTheme="minorEastAsia" w:hint="eastAsia"/>
                <w:szCs w:val="21"/>
              </w:rPr>
              <w:t>程度</w:t>
            </w:r>
          </w:p>
        </w:tc>
        <w:tc>
          <w:tcPr>
            <w:tcW w:w="2127" w:type="dxa"/>
            <w:vAlign w:val="center"/>
          </w:tcPr>
          <w:p w14:paraId="73133F92"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14時間</w:t>
            </w:r>
            <w:r>
              <w:rPr>
                <w:rFonts w:asciiTheme="minorEastAsia" w:hAnsiTheme="minorEastAsia" w:hint="eastAsia"/>
                <w:szCs w:val="21"/>
              </w:rPr>
              <w:t>程度</w:t>
            </w:r>
          </w:p>
        </w:tc>
        <w:tc>
          <w:tcPr>
            <w:tcW w:w="2126" w:type="dxa"/>
            <w:vAlign w:val="center"/>
          </w:tcPr>
          <w:p w14:paraId="447AB435"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21時間</w:t>
            </w:r>
            <w:r>
              <w:rPr>
                <w:rFonts w:asciiTheme="minorEastAsia" w:hAnsiTheme="minorEastAsia" w:hint="eastAsia"/>
                <w:szCs w:val="21"/>
              </w:rPr>
              <w:t>程度</w:t>
            </w:r>
          </w:p>
        </w:tc>
        <w:tc>
          <w:tcPr>
            <w:tcW w:w="2126" w:type="dxa"/>
            <w:vAlign w:val="center"/>
          </w:tcPr>
          <w:p w14:paraId="32602BF2"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21時間</w:t>
            </w:r>
            <w:r>
              <w:rPr>
                <w:rFonts w:asciiTheme="minorEastAsia" w:hAnsiTheme="minorEastAsia" w:hint="eastAsia"/>
                <w:szCs w:val="21"/>
              </w:rPr>
              <w:t>程度</w:t>
            </w:r>
          </w:p>
        </w:tc>
        <w:tc>
          <w:tcPr>
            <w:tcW w:w="1985" w:type="dxa"/>
            <w:vAlign w:val="center"/>
          </w:tcPr>
          <w:p w14:paraId="2E82C2D3"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15時間</w:t>
            </w:r>
            <w:r>
              <w:rPr>
                <w:rFonts w:asciiTheme="minorEastAsia" w:hAnsiTheme="minorEastAsia" w:hint="eastAsia"/>
                <w:szCs w:val="21"/>
              </w:rPr>
              <w:t>程度</w:t>
            </w:r>
          </w:p>
        </w:tc>
        <w:tc>
          <w:tcPr>
            <w:tcW w:w="1944" w:type="dxa"/>
            <w:vAlign w:val="center"/>
          </w:tcPr>
          <w:p w14:paraId="6978DF4F" w14:textId="77777777" w:rsidR="00C77848" w:rsidRPr="0012518F" w:rsidRDefault="00C77848" w:rsidP="00747962">
            <w:pPr>
              <w:spacing w:before="100" w:beforeAutospacing="1" w:after="100" w:afterAutospacing="1" w:line="240" w:lineRule="auto"/>
              <w:jc w:val="center"/>
              <w:rPr>
                <w:rFonts w:asciiTheme="minorEastAsia" w:hAnsiTheme="minorEastAsia"/>
                <w:szCs w:val="21"/>
              </w:rPr>
            </w:pPr>
            <w:r w:rsidRPr="0012518F">
              <w:rPr>
                <w:rFonts w:asciiTheme="minorEastAsia" w:hAnsiTheme="minorEastAsia" w:hint="eastAsia"/>
                <w:szCs w:val="21"/>
              </w:rPr>
              <w:t>7時間</w:t>
            </w:r>
            <w:r>
              <w:rPr>
                <w:rFonts w:asciiTheme="minorEastAsia" w:hAnsiTheme="minorEastAsia" w:hint="eastAsia"/>
                <w:szCs w:val="21"/>
              </w:rPr>
              <w:t>程度</w:t>
            </w:r>
          </w:p>
        </w:tc>
      </w:tr>
      <w:tr w:rsidR="00747962" w:rsidRPr="00193D0F" w14:paraId="038B5C25" w14:textId="77777777" w:rsidTr="00747962">
        <w:trPr>
          <w:cantSplit/>
          <w:trHeight w:val="2444"/>
        </w:trPr>
        <w:tc>
          <w:tcPr>
            <w:tcW w:w="675" w:type="dxa"/>
            <w:textDirection w:val="tbRlV"/>
            <w:vAlign w:val="center"/>
          </w:tcPr>
          <w:p w14:paraId="0C6A13CC" w14:textId="77777777" w:rsidR="00C77848" w:rsidRPr="001F2999" w:rsidRDefault="00C77848" w:rsidP="00747962">
            <w:pPr>
              <w:spacing w:after="0" w:line="240" w:lineRule="auto"/>
              <w:ind w:left="113" w:right="113"/>
              <w:jc w:val="center"/>
              <w:rPr>
                <w:rFonts w:asciiTheme="minorEastAsia" w:hAnsiTheme="minorEastAsia"/>
                <w:sz w:val="24"/>
                <w:szCs w:val="24"/>
              </w:rPr>
            </w:pPr>
            <w:r w:rsidRPr="001F2999">
              <w:rPr>
                <w:rFonts w:asciiTheme="minorEastAsia" w:hAnsiTheme="minorEastAsia" w:hint="eastAsia"/>
                <w:sz w:val="24"/>
                <w:szCs w:val="24"/>
              </w:rPr>
              <w:t>ねらい</w:t>
            </w:r>
          </w:p>
        </w:tc>
        <w:tc>
          <w:tcPr>
            <w:tcW w:w="1843" w:type="dxa"/>
            <w:vAlign w:val="center"/>
          </w:tcPr>
          <w:p w14:paraId="5C863427"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・カウンセリングのイメージづくり</w:t>
            </w:r>
          </w:p>
          <w:p w14:paraId="238B9B1B"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・受講者相互のリレーションづくり</w:t>
            </w:r>
          </w:p>
          <w:p w14:paraId="3DCA139B" w14:textId="77777777" w:rsidR="00C77848" w:rsidRPr="005841D7" w:rsidRDefault="00C77848" w:rsidP="00747962">
            <w:pPr>
              <w:spacing w:beforeLines="50" w:before="180" w:afterLines="50" w:after="18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・面接</w:t>
            </w:r>
            <w:r w:rsidR="00BA02AD" w:rsidRPr="005841D7">
              <w:rPr>
                <w:rFonts w:asciiTheme="minorEastAsia" w:hAnsiTheme="minorEastAsia" w:hint="eastAsia"/>
                <w:color w:val="000000" w:themeColor="text1"/>
                <w:szCs w:val="21"/>
              </w:rPr>
              <w:t>の体験学習</w:t>
            </w:r>
            <w:r w:rsidRPr="005841D7">
              <w:rPr>
                <w:rFonts w:asciiTheme="minorEastAsia" w:hAnsiTheme="minorEastAsia" w:hint="eastAsia"/>
                <w:color w:val="000000" w:themeColor="text1"/>
                <w:szCs w:val="21"/>
              </w:rPr>
              <w:t>参加への動機づけ</w:t>
            </w:r>
          </w:p>
        </w:tc>
        <w:tc>
          <w:tcPr>
            <w:tcW w:w="2126" w:type="dxa"/>
          </w:tcPr>
          <w:p w14:paraId="0C5EEF03"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・傾聴の基本的態度と技法の理解</w:t>
            </w:r>
          </w:p>
          <w:p w14:paraId="3104076E" w14:textId="77777777" w:rsidR="00C77848" w:rsidRPr="005841D7" w:rsidRDefault="00C77848" w:rsidP="00747962">
            <w:pPr>
              <w:spacing w:beforeLines="50" w:before="180" w:after="0" w:line="260" w:lineRule="exact"/>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・自己理解を深める</w:t>
            </w:r>
          </w:p>
        </w:tc>
        <w:tc>
          <w:tcPr>
            <w:tcW w:w="2127" w:type="dxa"/>
          </w:tcPr>
          <w:p w14:paraId="029DC96D"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・傾聴の基本的態度と技法を実践する</w:t>
            </w:r>
          </w:p>
          <w:p w14:paraId="7A45127E" w14:textId="77777777" w:rsidR="00C77848" w:rsidRPr="005841D7" w:rsidRDefault="00C77848" w:rsidP="00747962">
            <w:pPr>
              <w:spacing w:beforeLines="50" w:before="180" w:after="0" w:line="260" w:lineRule="exact"/>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・自己理解を深める</w:t>
            </w:r>
          </w:p>
        </w:tc>
        <w:tc>
          <w:tcPr>
            <w:tcW w:w="2126" w:type="dxa"/>
          </w:tcPr>
          <w:p w14:paraId="46E358F2" w14:textId="77777777" w:rsidR="00C77848" w:rsidRPr="005841D7" w:rsidRDefault="00C77848" w:rsidP="00747962">
            <w:pPr>
              <w:spacing w:beforeLines="50" w:before="180" w:afterLines="100" w:after="360" w:line="260" w:lineRule="exact"/>
              <w:ind w:left="235" w:hangingChars="112" w:hanging="235"/>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・カウンセリング・プロセスの基本的理解</w:t>
            </w:r>
          </w:p>
          <w:p w14:paraId="1AD81F59"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・産業カウンセラーとしての自己理解を深める</w:t>
            </w:r>
          </w:p>
        </w:tc>
        <w:tc>
          <w:tcPr>
            <w:tcW w:w="2126" w:type="dxa"/>
          </w:tcPr>
          <w:p w14:paraId="70374E3B" w14:textId="77777777" w:rsidR="00C77848" w:rsidRPr="005841D7" w:rsidRDefault="00C77848" w:rsidP="00747962">
            <w:pPr>
              <w:spacing w:beforeLines="50" w:before="180" w:after="0" w:line="260" w:lineRule="exact"/>
              <w:ind w:left="235" w:hangingChars="112" w:hanging="235"/>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・プロセスの各過程で傾聴を土台としたかかわりを体験的に学ぶ</w:t>
            </w:r>
          </w:p>
          <w:p w14:paraId="14C1106B"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・産業カウンセラーとしての自己理解を深める</w:t>
            </w:r>
          </w:p>
        </w:tc>
        <w:tc>
          <w:tcPr>
            <w:tcW w:w="1985" w:type="dxa"/>
          </w:tcPr>
          <w:p w14:paraId="4D9F8A66" w14:textId="77777777" w:rsidR="00C77848" w:rsidRPr="005841D7" w:rsidRDefault="00C77848" w:rsidP="00747962">
            <w:pPr>
              <w:spacing w:beforeLines="50" w:before="180" w:after="0" w:line="260" w:lineRule="exact"/>
              <w:ind w:left="172" w:hangingChars="82" w:hanging="172"/>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・カウンセリング・プロセスを実践する</w:t>
            </w:r>
          </w:p>
          <w:p w14:paraId="7C8D475D" w14:textId="77777777" w:rsidR="00C77848" w:rsidRPr="005841D7" w:rsidRDefault="00C77848" w:rsidP="00747962">
            <w:pPr>
              <w:spacing w:beforeLines="50" w:before="180" w:after="0" w:line="260" w:lineRule="exact"/>
              <w:ind w:left="130" w:hangingChars="62" w:hanging="13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・産業カウンセラーとしての自己理解を深める</w:t>
            </w:r>
          </w:p>
        </w:tc>
        <w:tc>
          <w:tcPr>
            <w:tcW w:w="1944" w:type="dxa"/>
          </w:tcPr>
          <w:p w14:paraId="52F7B298" w14:textId="77777777" w:rsidR="00C77848" w:rsidRPr="005841D7" w:rsidRDefault="00C77848" w:rsidP="00747962">
            <w:pPr>
              <w:spacing w:beforeLines="50" w:before="180" w:after="0" w:line="260" w:lineRule="exact"/>
              <w:ind w:leftChars="-22" w:left="193" w:hangingChars="114" w:hanging="239"/>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・目指す産業カウンセラー像を実現するための、自己の目標と課題を認識する</w:t>
            </w:r>
          </w:p>
        </w:tc>
      </w:tr>
      <w:tr w:rsidR="00747962" w:rsidRPr="00193D0F" w14:paraId="158C394E" w14:textId="77777777" w:rsidTr="00747962">
        <w:trPr>
          <w:cantSplit/>
          <w:trHeight w:val="4639"/>
        </w:trPr>
        <w:tc>
          <w:tcPr>
            <w:tcW w:w="675" w:type="dxa"/>
            <w:textDirection w:val="tbRlV"/>
            <w:vAlign w:val="center"/>
          </w:tcPr>
          <w:p w14:paraId="145AB2A3" w14:textId="77777777" w:rsidR="00C77848" w:rsidRPr="001F2999" w:rsidRDefault="00C77848" w:rsidP="00747962">
            <w:pPr>
              <w:spacing w:after="100" w:afterAutospacing="1" w:line="240" w:lineRule="auto"/>
              <w:ind w:left="113" w:right="113"/>
              <w:jc w:val="center"/>
              <w:rPr>
                <w:rFonts w:asciiTheme="minorEastAsia" w:hAnsiTheme="minorEastAsia"/>
                <w:sz w:val="24"/>
                <w:szCs w:val="24"/>
              </w:rPr>
            </w:pPr>
            <w:r w:rsidRPr="001F2999">
              <w:rPr>
                <w:rFonts w:asciiTheme="minorEastAsia" w:hAnsiTheme="minorEastAsia" w:hint="eastAsia"/>
                <w:sz w:val="24"/>
                <w:szCs w:val="24"/>
              </w:rPr>
              <w:t>目　標</w:t>
            </w:r>
          </w:p>
        </w:tc>
        <w:tc>
          <w:tcPr>
            <w:tcW w:w="1843" w:type="dxa"/>
          </w:tcPr>
          <w:p w14:paraId="7683DDB8"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・カウンセリングのイメージを持つ</w:t>
            </w:r>
          </w:p>
          <w:p w14:paraId="3BDDD920"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・他の受講者と親しくできる</w:t>
            </w:r>
          </w:p>
          <w:p w14:paraId="48DF6F13" w14:textId="77777777" w:rsidR="00C77848" w:rsidRPr="005841D7" w:rsidRDefault="00AC4F0B"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・面接の体験学習</w:t>
            </w:r>
            <w:r w:rsidR="00C77848" w:rsidRPr="005841D7">
              <w:rPr>
                <w:rFonts w:asciiTheme="minorEastAsia" w:hAnsiTheme="minorEastAsia" w:hint="eastAsia"/>
                <w:color w:val="000000" w:themeColor="text1"/>
                <w:szCs w:val="21"/>
              </w:rPr>
              <w:t>に参加することの意義を理解できる</w:t>
            </w:r>
          </w:p>
        </w:tc>
        <w:tc>
          <w:tcPr>
            <w:tcW w:w="2126" w:type="dxa"/>
          </w:tcPr>
          <w:p w14:paraId="3EB50C8F" w14:textId="77777777" w:rsidR="00C77848" w:rsidRPr="005841D7" w:rsidRDefault="00C77848" w:rsidP="00747962">
            <w:pPr>
              <w:adjustRightInd w:val="0"/>
              <w:snapToGrid w:val="0"/>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・カウンセリングの聴き方と日常の聞き方との違いを理解する</w:t>
            </w:r>
          </w:p>
          <w:p w14:paraId="42AFAFED" w14:textId="77777777" w:rsidR="00C77848" w:rsidRPr="005841D7" w:rsidRDefault="00C77848" w:rsidP="00747962">
            <w:pPr>
              <w:adjustRightInd w:val="0"/>
              <w:snapToGrid w:val="0"/>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・カウンセラーの基本的態度</w:t>
            </w:r>
            <w:r w:rsidR="008D58EF" w:rsidRPr="005841D7">
              <w:rPr>
                <w:rFonts w:asciiTheme="minorEastAsia" w:hAnsiTheme="minorEastAsia" w:hint="eastAsia"/>
                <w:color w:val="000000" w:themeColor="text1"/>
                <w:szCs w:val="21"/>
              </w:rPr>
              <w:t>の中核三条件</w:t>
            </w:r>
            <w:r w:rsidRPr="005841D7">
              <w:rPr>
                <w:rFonts w:asciiTheme="minorEastAsia" w:hAnsiTheme="minorEastAsia" w:hint="eastAsia"/>
                <w:color w:val="000000" w:themeColor="text1"/>
                <w:szCs w:val="21"/>
              </w:rPr>
              <w:t>について体験的に理解する</w:t>
            </w:r>
          </w:p>
          <w:p w14:paraId="68FCF91A" w14:textId="77777777" w:rsidR="00C77848" w:rsidRPr="005841D7" w:rsidRDefault="00C77848" w:rsidP="00747962">
            <w:pPr>
              <w:adjustRightInd w:val="0"/>
              <w:snapToGrid w:val="0"/>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・傾聴の技法について体験的に理解する</w:t>
            </w:r>
          </w:p>
          <w:p w14:paraId="4BED4AC3" w14:textId="77777777" w:rsidR="00C77848" w:rsidRPr="005841D7" w:rsidRDefault="00C77848" w:rsidP="00747962">
            <w:pPr>
              <w:adjustRightInd w:val="0"/>
              <w:snapToGrid w:val="0"/>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・自分の態度・聴き方のクセに気づく</w:t>
            </w:r>
          </w:p>
        </w:tc>
        <w:tc>
          <w:tcPr>
            <w:tcW w:w="2127" w:type="dxa"/>
          </w:tcPr>
          <w:p w14:paraId="6959FF64"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・カウンセラーの基本的態度</w:t>
            </w:r>
            <w:r w:rsidR="00AC4F0B" w:rsidRPr="005841D7">
              <w:rPr>
                <w:rFonts w:asciiTheme="minorEastAsia" w:hAnsiTheme="minorEastAsia" w:hint="eastAsia"/>
                <w:color w:val="000000" w:themeColor="text1"/>
                <w:szCs w:val="21"/>
              </w:rPr>
              <w:t>の中核三条件</w:t>
            </w:r>
            <w:r w:rsidRPr="005841D7">
              <w:rPr>
                <w:rFonts w:asciiTheme="minorEastAsia" w:hAnsiTheme="minorEastAsia" w:hint="eastAsia"/>
                <w:color w:val="000000" w:themeColor="text1"/>
                <w:szCs w:val="21"/>
              </w:rPr>
              <w:t>について体験的に理解を深める</w:t>
            </w:r>
          </w:p>
          <w:p w14:paraId="3CA79664"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・クライエントの状況に応じて、</w:t>
            </w:r>
            <w:r w:rsidRPr="005841D7">
              <w:rPr>
                <w:rFonts w:asciiTheme="minorEastAsia" w:hAnsiTheme="minorEastAsia" w:hint="eastAsia"/>
                <w:color w:val="000000" w:themeColor="text1"/>
                <w:kern w:val="0"/>
                <w:szCs w:val="21"/>
              </w:rPr>
              <w:t>適切に技法を活用し、クライエントとリレーションがとれる（ラポール形成）</w:t>
            </w:r>
          </w:p>
          <w:p w14:paraId="044145DC" w14:textId="77777777" w:rsidR="00C77848" w:rsidRPr="005841D7" w:rsidRDefault="00C77848" w:rsidP="00747962">
            <w:pPr>
              <w:spacing w:beforeLines="50" w:before="180" w:after="0" w:line="260" w:lineRule="exact"/>
              <w:ind w:left="210" w:hangingChars="100" w:hanging="210"/>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・自分の態度・聴き方の特徴について気づき、その意味を考える</w:t>
            </w:r>
          </w:p>
        </w:tc>
        <w:tc>
          <w:tcPr>
            <w:tcW w:w="2126" w:type="dxa"/>
          </w:tcPr>
          <w:p w14:paraId="5721BFFE" w14:textId="77777777" w:rsidR="00C77848" w:rsidRPr="005841D7" w:rsidRDefault="00C77848" w:rsidP="00747962">
            <w:pPr>
              <w:spacing w:beforeLines="50" w:before="180" w:after="0" w:line="260" w:lineRule="exact"/>
              <w:ind w:left="193" w:hangingChars="92" w:hanging="193"/>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・クライエントへの継続的なかかわりを通して、プロセスを理解できる</w:t>
            </w:r>
          </w:p>
          <w:p w14:paraId="44CF6085" w14:textId="77777777" w:rsidR="00C77848" w:rsidRPr="005841D7" w:rsidRDefault="00C77848" w:rsidP="00747962">
            <w:pPr>
              <w:spacing w:beforeLines="50" w:before="180" w:after="0" w:line="260" w:lineRule="exact"/>
              <w:ind w:left="235" w:hangingChars="112" w:hanging="235"/>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・クライエントの話の内容を的確に理解し、問題を見立てることができる</w:t>
            </w:r>
          </w:p>
          <w:p w14:paraId="62B6A1B6"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・プロセスの体験を通して産業カウンセラーとしての自分のあり方を考える</w:t>
            </w:r>
          </w:p>
        </w:tc>
        <w:tc>
          <w:tcPr>
            <w:tcW w:w="2126" w:type="dxa"/>
          </w:tcPr>
          <w:p w14:paraId="1366A354" w14:textId="77777777" w:rsidR="00C77848" w:rsidRPr="005841D7" w:rsidRDefault="00C77848" w:rsidP="00747962">
            <w:pPr>
              <w:spacing w:beforeLines="50" w:before="180" w:after="0" w:line="260" w:lineRule="exact"/>
              <w:ind w:left="235" w:hangingChars="112" w:hanging="235"/>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・プロセスの各過程において、傾聴を土台としたかかわりができる</w:t>
            </w:r>
          </w:p>
          <w:p w14:paraId="639489AE"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・クライエントへのかかわりについて適切な自己評価と自分の課題が自覚できる</w:t>
            </w:r>
          </w:p>
          <w:p w14:paraId="5472D2F1" w14:textId="77777777" w:rsidR="00C77848" w:rsidRPr="005841D7" w:rsidRDefault="00C77848" w:rsidP="00747962">
            <w:pPr>
              <w:spacing w:beforeLines="50" w:before="180" w:after="0" w:line="260" w:lineRule="exact"/>
              <w:ind w:left="214" w:hangingChars="102" w:hanging="214"/>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・産業カウンセラーとしての自分のあり方を自覚できる</w:t>
            </w:r>
          </w:p>
        </w:tc>
        <w:tc>
          <w:tcPr>
            <w:tcW w:w="1985" w:type="dxa"/>
          </w:tcPr>
          <w:p w14:paraId="5413559F" w14:textId="77777777" w:rsidR="00C77848" w:rsidRPr="005841D7" w:rsidRDefault="00C77848" w:rsidP="00747962">
            <w:pPr>
              <w:spacing w:beforeLines="50" w:before="180" w:after="0" w:line="260" w:lineRule="exact"/>
              <w:ind w:left="193" w:hangingChars="92" w:hanging="193"/>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・クライエントの見立てができ、問題を把握し、カウンセリングの方針を立て、それを実践できる</w:t>
            </w:r>
          </w:p>
          <w:p w14:paraId="04C88816" w14:textId="77777777" w:rsidR="00C77848" w:rsidRPr="005841D7" w:rsidRDefault="00C77848" w:rsidP="00747962">
            <w:pPr>
              <w:spacing w:beforeLines="50" w:before="180" w:after="0" w:line="260" w:lineRule="exact"/>
              <w:ind w:left="172" w:hangingChars="82" w:hanging="172"/>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・面接</w:t>
            </w:r>
            <w:r w:rsidR="00BA02AD" w:rsidRPr="005841D7">
              <w:rPr>
                <w:rFonts w:asciiTheme="minorEastAsia" w:hAnsiTheme="minorEastAsia" w:hint="eastAsia"/>
                <w:color w:val="000000" w:themeColor="text1"/>
                <w:szCs w:val="21"/>
              </w:rPr>
              <w:t>の体験学習</w:t>
            </w:r>
            <w:r w:rsidRPr="005841D7">
              <w:rPr>
                <w:rFonts w:asciiTheme="minorEastAsia" w:hAnsiTheme="minorEastAsia" w:hint="eastAsia"/>
                <w:color w:val="000000" w:themeColor="text1"/>
                <w:szCs w:val="21"/>
              </w:rPr>
              <w:t>を通して、自分を振り返り、産業カウンセラーとしての自分のあり方を再確認する</w:t>
            </w:r>
          </w:p>
        </w:tc>
        <w:tc>
          <w:tcPr>
            <w:tcW w:w="1944" w:type="dxa"/>
          </w:tcPr>
          <w:p w14:paraId="1C1966DF" w14:textId="77777777" w:rsidR="00C77848" w:rsidRPr="005841D7" w:rsidRDefault="00C77848" w:rsidP="00747962">
            <w:pPr>
              <w:spacing w:beforeLines="50" w:before="180" w:after="0" w:line="260" w:lineRule="exact"/>
              <w:ind w:left="172" w:hangingChars="82" w:hanging="172"/>
              <w:jc w:val="both"/>
              <w:rPr>
                <w:rFonts w:asciiTheme="minorEastAsia" w:hAnsiTheme="minorEastAsia"/>
                <w:color w:val="000000" w:themeColor="text1"/>
                <w:szCs w:val="21"/>
              </w:rPr>
            </w:pPr>
            <w:r w:rsidRPr="005841D7">
              <w:rPr>
                <w:rFonts w:asciiTheme="minorEastAsia" w:hAnsiTheme="minorEastAsia" w:hint="eastAsia"/>
                <w:color w:val="000000" w:themeColor="text1"/>
                <w:szCs w:val="21"/>
              </w:rPr>
              <w:t>・産業カウンセラーの立場や役割について理解し、目指す産業カウンセラー像を他者に説明できる</w:t>
            </w:r>
          </w:p>
        </w:tc>
      </w:tr>
    </w:tbl>
    <w:p w14:paraId="3F7F12F8" w14:textId="77777777" w:rsidR="009A39BA" w:rsidRPr="003306CD" w:rsidRDefault="00D727C0" w:rsidP="00C77848">
      <w:pPr>
        <w:spacing w:after="0"/>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9077F53" wp14:editId="7FAC54B6">
                <wp:simplePos x="0" y="0"/>
                <wp:positionH relativeFrom="column">
                  <wp:posOffset>7517765</wp:posOffset>
                </wp:positionH>
                <wp:positionV relativeFrom="paragraph">
                  <wp:posOffset>6014720</wp:posOffset>
                </wp:positionV>
                <wp:extent cx="206692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6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E3E9F" w14:textId="77777777" w:rsidR="007B1AB3" w:rsidRPr="007B1AB3" w:rsidRDefault="007B1AB3" w:rsidP="007B1AB3">
                            <w:pPr>
                              <w:spacing w:after="100" w:afterAutospacing="1" w:line="240" w:lineRule="exact"/>
                              <w:rPr>
                                <w:rFonts w:asciiTheme="majorEastAsia" w:eastAsiaTheme="majorEastAsia" w:hAnsiTheme="majorEastAsia"/>
                                <w:sz w:val="16"/>
                                <w:szCs w:val="16"/>
                              </w:rPr>
                            </w:pPr>
                            <w:r w:rsidRPr="007B1AB3">
                              <w:rPr>
                                <w:rFonts w:asciiTheme="majorEastAsia" w:eastAsiaTheme="majorEastAsia" w:hAnsiTheme="majorEastAsia" w:hint="eastAsia"/>
                                <w:sz w:val="16"/>
                                <w:szCs w:val="16"/>
                              </w:rPr>
                              <w:t>一般社団法人日本産業カウンセラー協会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77F53" id="_x0000_t202" coordsize="21600,21600" o:spt="202" path="m,l,21600r21600,l21600,xe">
                <v:stroke joinstyle="miter"/>
                <v:path gradientshapeok="t" o:connecttype="rect"/>
              </v:shapetype>
              <v:shape id="テキスト ボックス 1" o:spid="_x0000_s1026" type="#_x0000_t202" style="position:absolute;left:0;text-align:left;margin-left:591.95pt;margin-top:473.6pt;width:16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" filled="f" stroked="f" strokeweight=".5pt">
                <v:textbox>
                  <w:txbxContent>
                    <w:p w14:paraId="425E3E9F" w14:textId="77777777" w:rsidR="007B1AB3" w:rsidRPr="007B1AB3" w:rsidRDefault="007B1AB3" w:rsidP="007B1AB3">
                      <w:pPr>
                        <w:spacing w:after="100" w:afterAutospacing="1" w:line="240" w:lineRule="exact"/>
                        <w:rPr>
                          <w:rFonts w:asciiTheme="majorEastAsia" w:eastAsiaTheme="majorEastAsia" w:hAnsiTheme="majorEastAsia"/>
                          <w:sz w:val="16"/>
                          <w:szCs w:val="16"/>
                        </w:rPr>
                      </w:pPr>
                      <w:r w:rsidRPr="007B1AB3">
                        <w:rPr>
                          <w:rFonts w:asciiTheme="majorEastAsia" w:eastAsiaTheme="majorEastAsia" w:hAnsiTheme="majorEastAsia" w:hint="eastAsia"/>
                          <w:sz w:val="16"/>
                          <w:szCs w:val="16"/>
                        </w:rPr>
                        <w:t>一般社団法人日本産業カウンセラー協会</w:t>
                      </w:r>
                    </w:p>
                  </w:txbxContent>
                </v:textbox>
              </v:shape>
            </w:pict>
          </mc:Fallback>
        </mc:AlternateContent>
      </w:r>
      <w:r w:rsidR="00AC4F0B">
        <w:rPr>
          <w:rFonts w:hint="eastAsia"/>
          <w:sz w:val="24"/>
          <w:szCs w:val="24"/>
        </w:rPr>
        <w:t>産業カウンセラー養成講座　面接の体験学習</w:t>
      </w:r>
      <w:r w:rsidR="003306CD" w:rsidRPr="003306CD">
        <w:rPr>
          <w:rFonts w:hint="eastAsia"/>
          <w:sz w:val="24"/>
          <w:szCs w:val="24"/>
        </w:rPr>
        <w:t>におけるねらいと目標（受講者用）</w:t>
      </w:r>
    </w:p>
    <w:sectPr w:rsidR="009A39BA" w:rsidRPr="003306CD" w:rsidSect="00B4312D">
      <w:pgSz w:w="16838" w:h="11906" w:orient="landscape"/>
      <w:pgMar w:top="1134" w:right="851" w:bottom="99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56E0" w14:textId="77777777" w:rsidR="00AB06D4" w:rsidRDefault="00AB06D4" w:rsidP="00D727C0">
      <w:pPr>
        <w:spacing w:after="0" w:line="240" w:lineRule="auto"/>
      </w:pPr>
      <w:r>
        <w:separator/>
      </w:r>
    </w:p>
  </w:endnote>
  <w:endnote w:type="continuationSeparator" w:id="0">
    <w:p w14:paraId="46AD2AF8" w14:textId="77777777" w:rsidR="00AB06D4" w:rsidRDefault="00AB06D4" w:rsidP="00D7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C7DA" w14:textId="77777777" w:rsidR="00AB06D4" w:rsidRDefault="00AB06D4" w:rsidP="00D727C0">
      <w:pPr>
        <w:spacing w:after="0" w:line="240" w:lineRule="auto"/>
      </w:pPr>
      <w:r>
        <w:separator/>
      </w:r>
    </w:p>
  </w:footnote>
  <w:footnote w:type="continuationSeparator" w:id="0">
    <w:p w14:paraId="1A7C0A9C" w14:textId="77777777" w:rsidR="00AB06D4" w:rsidRDefault="00AB06D4" w:rsidP="00D72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8F"/>
    <w:rsid w:val="00092B5E"/>
    <w:rsid w:val="0012518F"/>
    <w:rsid w:val="001F2999"/>
    <w:rsid w:val="00205B4A"/>
    <w:rsid w:val="002B7A28"/>
    <w:rsid w:val="003306CD"/>
    <w:rsid w:val="00372CD8"/>
    <w:rsid w:val="004560E2"/>
    <w:rsid w:val="00494012"/>
    <w:rsid w:val="005841D7"/>
    <w:rsid w:val="0059577A"/>
    <w:rsid w:val="005A7724"/>
    <w:rsid w:val="005E0BF1"/>
    <w:rsid w:val="006143DE"/>
    <w:rsid w:val="0062591E"/>
    <w:rsid w:val="00632E51"/>
    <w:rsid w:val="00747962"/>
    <w:rsid w:val="007B1AB3"/>
    <w:rsid w:val="007D0629"/>
    <w:rsid w:val="007F79C0"/>
    <w:rsid w:val="00804281"/>
    <w:rsid w:val="008D58EF"/>
    <w:rsid w:val="00910F46"/>
    <w:rsid w:val="009A39BA"/>
    <w:rsid w:val="00A049A7"/>
    <w:rsid w:val="00A16C55"/>
    <w:rsid w:val="00AA3ACA"/>
    <w:rsid w:val="00AB06D4"/>
    <w:rsid w:val="00AC4F0B"/>
    <w:rsid w:val="00B21372"/>
    <w:rsid w:val="00B4312D"/>
    <w:rsid w:val="00BA02AD"/>
    <w:rsid w:val="00BC573B"/>
    <w:rsid w:val="00C77848"/>
    <w:rsid w:val="00C810C1"/>
    <w:rsid w:val="00D04F04"/>
    <w:rsid w:val="00D51CA2"/>
    <w:rsid w:val="00D662C4"/>
    <w:rsid w:val="00D727C0"/>
    <w:rsid w:val="00DA407C"/>
    <w:rsid w:val="00DD44E7"/>
    <w:rsid w:val="00DF5163"/>
    <w:rsid w:val="00E146CF"/>
    <w:rsid w:val="00E40B4B"/>
    <w:rsid w:val="00EB0A82"/>
    <w:rsid w:val="00EE1F0C"/>
    <w:rsid w:val="00EF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D94EE"/>
  <w15:docId w15:val="{4BD6F270-30E9-4DA2-BA1C-A427B694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784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7848"/>
    <w:rPr>
      <w:rFonts w:asciiTheme="majorHAnsi" w:eastAsiaTheme="majorEastAsia" w:hAnsiTheme="majorHAnsi" w:cstheme="majorBidi"/>
      <w:sz w:val="18"/>
      <w:szCs w:val="18"/>
    </w:rPr>
  </w:style>
  <w:style w:type="paragraph" w:styleId="a6">
    <w:name w:val="header"/>
    <w:basedOn w:val="a"/>
    <w:link w:val="a7"/>
    <w:uiPriority w:val="99"/>
    <w:unhideWhenUsed/>
    <w:rsid w:val="00D727C0"/>
    <w:pPr>
      <w:tabs>
        <w:tab w:val="center" w:pos="4252"/>
        <w:tab w:val="right" w:pos="8504"/>
      </w:tabs>
      <w:snapToGrid w:val="0"/>
    </w:pPr>
  </w:style>
  <w:style w:type="character" w:customStyle="1" w:styleId="a7">
    <w:name w:val="ヘッダー (文字)"/>
    <w:basedOn w:val="a0"/>
    <w:link w:val="a6"/>
    <w:uiPriority w:val="99"/>
    <w:rsid w:val="00D727C0"/>
  </w:style>
  <w:style w:type="paragraph" w:styleId="a8">
    <w:name w:val="footer"/>
    <w:basedOn w:val="a"/>
    <w:link w:val="a9"/>
    <w:uiPriority w:val="99"/>
    <w:unhideWhenUsed/>
    <w:rsid w:val="00D727C0"/>
    <w:pPr>
      <w:tabs>
        <w:tab w:val="center" w:pos="4252"/>
        <w:tab w:val="right" w:pos="8504"/>
      </w:tabs>
      <w:snapToGrid w:val="0"/>
    </w:pPr>
  </w:style>
  <w:style w:type="character" w:customStyle="1" w:styleId="a9">
    <w:name w:val="フッター (文字)"/>
    <w:basedOn w:val="a0"/>
    <w:link w:val="a8"/>
    <w:uiPriority w:val="99"/>
    <w:rsid w:val="00D7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A72B-753D-4F92-9F65-F6EFD592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dc:creator>
  <cp:lastModifiedBy>PC02</cp:lastModifiedBy>
  <cp:revision>2</cp:revision>
  <cp:lastPrinted>2015-03-13T05:08:00Z</cp:lastPrinted>
  <dcterms:created xsi:type="dcterms:W3CDTF">2020-11-25T05:37:00Z</dcterms:created>
  <dcterms:modified xsi:type="dcterms:W3CDTF">2020-11-25T05:37:00Z</dcterms:modified>
</cp:coreProperties>
</file>